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8" w:rsidRPr="00F30ED0" w:rsidRDefault="00154F99" w:rsidP="00CF3A18">
      <w:pPr>
        <w:jc w:val="center"/>
        <w:rPr>
          <w:b/>
          <w:sz w:val="32"/>
          <w:szCs w:val="32"/>
        </w:rPr>
      </w:pPr>
      <w:r w:rsidRPr="00F30ED0">
        <w:rPr>
          <w:b/>
          <w:sz w:val="32"/>
          <w:szCs w:val="32"/>
        </w:rPr>
        <w:t xml:space="preserve"> SEBE Utilization Plan Document </w:t>
      </w:r>
    </w:p>
    <w:p w:rsidR="00CF3A18" w:rsidRPr="009173B6" w:rsidRDefault="007A2DA1" w:rsidP="00CF3A18">
      <w:pPr>
        <w:jc w:val="both"/>
        <w:rPr>
          <w:sz w:val="22"/>
          <w:szCs w:val="22"/>
        </w:rPr>
      </w:pPr>
    </w:p>
    <w:p w:rsidR="00CF3A18" w:rsidRPr="005F1075" w:rsidRDefault="00884844" w:rsidP="005F1075">
      <w:pPr>
        <w:jc w:val="center"/>
      </w:pPr>
      <w:r w:rsidRPr="005F1075">
        <w:t xml:space="preserve">A completed Bidder’s </w:t>
      </w:r>
      <w:r w:rsidR="00154F99">
        <w:rPr>
          <w:b/>
          <w:sz w:val="22"/>
          <w:szCs w:val="22"/>
        </w:rPr>
        <w:t xml:space="preserve">SEBE Utilization Plan Document </w:t>
      </w:r>
      <w:r>
        <w:t xml:space="preserve">of good faith </w:t>
      </w:r>
      <w:r w:rsidRPr="005F1075">
        <w:t>efforts must accompany the Bid Form</w:t>
      </w:r>
      <w:r w:rsidR="00154F99">
        <w:t xml:space="preserve"> or the signed Contract</w:t>
      </w:r>
      <w:r w:rsidR="00A3481A">
        <w:t>.</w:t>
      </w:r>
    </w:p>
    <w:p w:rsidR="005F1075" w:rsidRDefault="007A2DA1" w:rsidP="00CF3A18">
      <w:pPr>
        <w:jc w:val="both"/>
        <w:rPr>
          <w:sz w:val="22"/>
          <w:szCs w:val="22"/>
        </w:rPr>
      </w:pPr>
    </w:p>
    <w:p w:rsidR="00CF3A18" w:rsidRDefault="00884844" w:rsidP="00CF3A18">
      <w:pPr>
        <w:ind w:left="-180"/>
        <w:jc w:val="both"/>
        <w:rPr>
          <w:sz w:val="22"/>
          <w:szCs w:val="22"/>
        </w:rPr>
      </w:pP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  <w:u w:val="single"/>
        </w:rPr>
        <w:tab/>
      </w:r>
      <w:r w:rsidRPr="009173B6">
        <w:rPr>
          <w:sz w:val="22"/>
          <w:szCs w:val="22"/>
        </w:rPr>
        <w:t xml:space="preserve"> </w:t>
      </w:r>
      <w:r w:rsidRPr="00F30ED0">
        <w:rPr>
          <w:color w:val="548DD4" w:themeColor="text2" w:themeTint="99"/>
          <w:sz w:val="22"/>
          <w:szCs w:val="22"/>
        </w:rPr>
        <w:t xml:space="preserve">(“Bidder”) </w:t>
      </w:r>
      <w:r w:rsidRPr="009173B6">
        <w:rPr>
          <w:sz w:val="22"/>
          <w:szCs w:val="22"/>
        </w:rPr>
        <w:t xml:space="preserve">submits the following information regarding </w:t>
      </w:r>
      <w:r>
        <w:rPr>
          <w:sz w:val="22"/>
          <w:szCs w:val="22"/>
        </w:rPr>
        <w:t>its</w:t>
      </w:r>
      <w:r w:rsidRPr="009173B6">
        <w:rPr>
          <w:sz w:val="22"/>
          <w:szCs w:val="22"/>
        </w:rPr>
        <w:t xml:space="preserve"> level</w:t>
      </w:r>
      <w:r w:rsidR="00F85AEF">
        <w:rPr>
          <w:sz w:val="22"/>
          <w:szCs w:val="22"/>
        </w:rPr>
        <w:t xml:space="preserve"> </w:t>
      </w:r>
      <w:r w:rsidRPr="009173B6">
        <w:rPr>
          <w:sz w:val="22"/>
          <w:szCs w:val="22"/>
        </w:rPr>
        <w:t xml:space="preserve">of </w:t>
      </w:r>
      <w:r w:rsidR="00154F99">
        <w:rPr>
          <w:sz w:val="22"/>
          <w:szCs w:val="22"/>
        </w:rPr>
        <w:t>SEBE</w:t>
      </w:r>
      <w:r w:rsidR="00154F99" w:rsidRPr="009173B6">
        <w:rPr>
          <w:sz w:val="22"/>
          <w:szCs w:val="22"/>
        </w:rPr>
        <w:t xml:space="preserve"> </w:t>
      </w:r>
      <w:r w:rsidRPr="009173B6">
        <w:rPr>
          <w:sz w:val="22"/>
          <w:szCs w:val="22"/>
        </w:rPr>
        <w:t>Participation:</w:t>
      </w:r>
    </w:p>
    <w:p w:rsidR="00730D02" w:rsidRDefault="007A2DA1" w:rsidP="00730D02">
      <w:pPr>
        <w:ind w:left="360"/>
        <w:jc w:val="both"/>
        <w:rPr>
          <w:sz w:val="22"/>
          <w:szCs w:val="22"/>
        </w:rPr>
      </w:pPr>
    </w:p>
    <w:p w:rsidR="005F79E2" w:rsidRPr="00F30ED0" w:rsidRDefault="00884844" w:rsidP="005F79E2">
      <w:pPr>
        <w:jc w:val="center"/>
        <w:rPr>
          <w:b/>
          <w:sz w:val="22"/>
          <w:szCs w:val="22"/>
        </w:rPr>
      </w:pPr>
      <w:r w:rsidRPr="00F30ED0">
        <w:rPr>
          <w:b/>
          <w:sz w:val="22"/>
          <w:szCs w:val="22"/>
        </w:rPr>
        <w:t xml:space="preserve">List all </w:t>
      </w:r>
      <w:r w:rsidR="00154F99" w:rsidRPr="00F30ED0">
        <w:rPr>
          <w:b/>
          <w:sz w:val="22"/>
          <w:szCs w:val="22"/>
        </w:rPr>
        <w:t xml:space="preserve">SEBE </w:t>
      </w:r>
      <w:r w:rsidRPr="00F30ED0">
        <w:rPr>
          <w:b/>
          <w:sz w:val="22"/>
          <w:szCs w:val="22"/>
        </w:rPr>
        <w:t>subcontractors and suppliers,</w:t>
      </w:r>
      <w:r w:rsidR="00A3481A" w:rsidRPr="00F30ED0">
        <w:rPr>
          <w:b/>
          <w:sz w:val="22"/>
          <w:szCs w:val="22"/>
        </w:rPr>
        <w:t xml:space="preserve"> SEBE status, services and materials provided,</w:t>
      </w:r>
      <w:r w:rsidRPr="00F30ED0">
        <w:rPr>
          <w:b/>
          <w:sz w:val="22"/>
          <w:szCs w:val="22"/>
        </w:rPr>
        <w:t xml:space="preserve"> with contract </w:t>
      </w:r>
      <w:r w:rsidR="00F85AEF" w:rsidRPr="00F30ED0">
        <w:rPr>
          <w:b/>
          <w:sz w:val="22"/>
          <w:szCs w:val="22"/>
        </w:rPr>
        <w:t>amounts that</w:t>
      </w:r>
      <w:r w:rsidRPr="00F30ED0">
        <w:rPr>
          <w:b/>
          <w:sz w:val="22"/>
          <w:szCs w:val="22"/>
        </w:rPr>
        <w:t xml:space="preserve"> Bidder will use for its work on the Project.</w:t>
      </w:r>
      <w:r w:rsidR="005B5968" w:rsidRPr="00F30ED0">
        <w:rPr>
          <w:b/>
          <w:sz w:val="22"/>
          <w:szCs w:val="22"/>
        </w:rPr>
        <w:t xml:space="preserve">  </w:t>
      </w:r>
      <w:r w:rsidR="00154F99" w:rsidRPr="00F30ED0">
        <w:rPr>
          <w:b/>
          <w:sz w:val="22"/>
          <w:szCs w:val="22"/>
        </w:rPr>
        <w:t>SEBE</w:t>
      </w:r>
      <w:r w:rsidR="005B5968" w:rsidRPr="00F30ED0">
        <w:rPr>
          <w:b/>
          <w:sz w:val="22"/>
          <w:szCs w:val="22"/>
        </w:rPr>
        <w:t xml:space="preserve"> Status will be obtained from the Inclusion Plan Definitions section.</w:t>
      </w:r>
    </w:p>
    <w:p w:rsidR="00CF3A18" w:rsidRPr="00F30ED0" w:rsidRDefault="00414AAF" w:rsidP="00F30ED0">
      <w:pPr>
        <w:jc w:val="center"/>
        <w:rPr>
          <w:b/>
          <w:sz w:val="22"/>
          <w:szCs w:val="22"/>
        </w:rPr>
      </w:pPr>
      <w:r w:rsidRPr="00F30ED0">
        <w:rPr>
          <w:b/>
          <w:sz w:val="22"/>
          <w:szCs w:val="22"/>
        </w:rPr>
        <w:t>Certifying Agency - t</w:t>
      </w:r>
      <w:r w:rsidR="006754E5" w:rsidRPr="00F30ED0">
        <w:rPr>
          <w:b/>
          <w:sz w:val="22"/>
          <w:szCs w:val="22"/>
        </w:rPr>
        <w:t>he contractor will state whether the SEBE received a certification from a political subdivision or self-certified.</w:t>
      </w:r>
    </w:p>
    <w:tbl>
      <w:tblPr>
        <w:tblW w:w="15390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3594"/>
        <w:gridCol w:w="2076"/>
        <w:gridCol w:w="2811"/>
        <w:gridCol w:w="4479"/>
        <w:gridCol w:w="2430"/>
      </w:tblGrid>
      <w:tr w:rsidR="006754E5" w:rsidTr="00F30ED0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ED0" w:rsidRPr="00F30ED0" w:rsidRDefault="00F30ED0" w:rsidP="00F30ED0">
            <w:pPr>
              <w:jc w:val="center"/>
              <w:rPr>
                <w:b/>
                <w:sz w:val="24"/>
                <w:szCs w:val="24"/>
              </w:rPr>
            </w:pPr>
          </w:p>
          <w:p w:rsidR="006754E5" w:rsidRPr="00F30ED0" w:rsidRDefault="006754E5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>Name of SEBE</w:t>
            </w:r>
            <w:r w:rsidR="009D00F6" w:rsidRPr="00F30ED0">
              <w:rPr>
                <w:b/>
                <w:sz w:val="24"/>
                <w:szCs w:val="24"/>
              </w:rPr>
              <w:t xml:space="preserve"> </w:t>
            </w:r>
            <w:r w:rsidRPr="00F30ED0">
              <w:rPr>
                <w:b/>
                <w:sz w:val="24"/>
                <w:szCs w:val="24"/>
              </w:rPr>
              <w:t xml:space="preserve">Subcontractor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54E5" w:rsidRPr="00F30ED0" w:rsidRDefault="006754E5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>SEBE Status</w:t>
            </w:r>
            <w:r w:rsidR="00F30ED0" w:rsidRPr="00F30ED0">
              <w:rPr>
                <w:b/>
                <w:sz w:val="24"/>
                <w:szCs w:val="24"/>
              </w:rPr>
              <w:t>:</w:t>
            </w:r>
          </w:p>
          <w:p w:rsidR="005F79E2" w:rsidRPr="00F30ED0" w:rsidRDefault="005F79E2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>(SEBE, MBE, DBE, EDGE, LEDE, VBE, WBE)</w:t>
            </w:r>
          </w:p>
          <w:p w:rsidR="006754E5" w:rsidRPr="00F30ED0" w:rsidRDefault="006754E5" w:rsidP="00F30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ED0" w:rsidRPr="00F30ED0" w:rsidRDefault="00F30ED0" w:rsidP="00F30ED0">
            <w:pPr>
              <w:jc w:val="center"/>
              <w:rPr>
                <w:b/>
                <w:sz w:val="24"/>
                <w:szCs w:val="24"/>
              </w:rPr>
            </w:pPr>
          </w:p>
          <w:p w:rsidR="006754E5" w:rsidRPr="00F30ED0" w:rsidRDefault="006754E5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>Certifying Agency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ED0" w:rsidRPr="00F30ED0" w:rsidRDefault="00F30ED0" w:rsidP="00F30ED0">
            <w:pPr>
              <w:jc w:val="center"/>
              <w:rPr>
                <w:b/>
                <w:sz w:val="24"/>
                <w:szCs w:val="24"/>
              </w:rPr>
            </w:pPr>
          </w:p>
          <w:p w:rsidR="006754E5" w:rsidRPr="00F30ED0" w:rsidRDefault="006754E5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>Services / Materials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ED0" w:rsidRPr="00F30ED0" w:rsidRDefault="00F30ED0" w:rsidP="00F30ED0">
            <w:pPr>
              <w:jc w:val="center"/>
              <w:rPr>
                <w:b/>
                <w:sz w:val="24"/>
                <w:szCs w:val="24"/>
              </w:rPr>
            </w:pPr>
          </w:p>
          <w:p w:rsidR="006754E5" w:rsidRPr="00F30ED0" w:rsidRDefault="009D00F6" w:rsidP="00F30ED0">
            <w:pPr>
              <w:jc w:val="center"/>
              <w:rPr>
                <w:b/>
                <w:sz w:val="24"/>
                <w:szCs w:val="24"/>
              </w:rPr>
            </w:pPr>
            <w:r w:rsidRPr="00F30ED0">
              <w:rPr>
                <w:b/>
                <w:sz w:val="24"/>
                <w:szCs w:val="24"/>
              </w:rPr>
              <w:t xml:space="preserve">Contract / </w:t>
            </w:r>
            <w:r w:rsidR="006754E5" w:rsidRPr="00F30ED0">
              <w:rPr>
                <w:b/>
                <w:sz w:val="24"/>
                <w:szCs w:val="24"/>
              </w:rPr>
              <w:t>Subcontract Amount</w:t>
            </w:r>
          </w:p>
        </w:tc>
      </w:tr>
      <w:tr w:rsidR="006754E5" w:rsidTr="00F30ED0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$</w:t>
            </w:r>
          </w:p>
        </w:tc>
      </w:tr>
      <w:tr w:rsidR="006754E5" w:rsidTr="00F30ED0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$</w:t>
            </w:r>
          </w:p>
        </w:tc>
      </w:tr>
      <w:tr w:rsidR="006754E5" w:rsidTr="00F30ED0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$</w:t>
            </w:r>
          </w:p>
        </w:tc>
      </w:tr>
      <w:tr w:rsidR="006754E5" w:rsidTr="00F30ED0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$</w:t>
            </w:r>
          </w:p>
        </w:tc>
      </w:tr>
      <w:tr w:rsidR="006754E5" w:rsidTr="00F30ED0"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  <w:r w:rsidRPr="009173B6">
              <w:rPr>
                <w:sz w:val="22"/>
                <w:szCs w:val="22"/>
              </w:rPr>
              <w:t>$</w:t>
            </w:r>
          </w:p>
        </w:tc>
      </w:tr>
      <w:tr w:rsidR="006754E5" w:rsidTr="00F30ED0">
        <w:trPr>
          <w:trHeight w:val="593"/>
        </w:trPr>
        <w:tc>
          <w:tcPr>
            <w:tcW w:w="3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E5" w:rsidRPr="00730D02" w:rsidRDefault="006754E5" w:rsidP="00A3481A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30D02">
              <w:rPr>
                <w:b/>
                <w:sz w:val="22"/>
                <w:szCs w:val="22"/>
              </w:rPr>
              <w:t>TOTAL AMOUNT OF</w:t>
            </w:r>
          </w:p>
          <w:p w:rsidR="006754E5" w:rsidRPr="009173B6" w:rsidRDefault="006754E5" w:rsidP="00A348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SEBE</w:t>
            </w:r>
            <w:r w:rsidRPr="009173B6">
              <w:rPr>
                <w:b/>
                <w:sz w:val="22"/>
                <w:szCs w:val="22"/>
              </w:rPr>
              <w:t xml:space="preserve"> </w:t>
            </w:r>
            <w:r w:rsidR="009D00F6">
              <w:rPr>
                <w:b/>
                <w:sz w:val="22"/>
                <w:szCs w:val="22"/>
              </w:rPr>
              <w:t xml:space="preserve">CONTRACT / </w:t>
            </w:r>
            <w:r w:rsidRPr="009173B6">
              <w:rPr>
                <w:b/>
                <w:sz w:val="22"/>
                <w:szCs w:val="22"/>
              </w:rPr>
              <w:t>SUBCONTRACTS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5" w:rsidRPr="009173B6" w:rsidRDefault="006754E5" w:rsidP="00730D02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E5" w:rsidRPr="009173B6" w:rsidRDefault="006754E5" w:rsidP="00730D02">
            <w:pPr>
              <w:rPr>
                <w:b/>
                <w:sz w:val="22"/>
                <w:szCs w:val="22"/>
              </w:rPr>
            </w:pPr>
          </w:p>
          <w:p w:rsidR="006754E5" w:rsidRPr="009173B6" w:rsidRDefault="006754E5" w:rsidP="00730D02">
            <w:pPr>
              <w:rPr>
                <w:b/>
                <w:sz w:val="22"/>
                <w:szCs w:val="22"/>
              </w:rPr>
            </w:pPr>
            <w:r w:rsidRPr="009173B6">
              <w:rPr>
                <w:b/>
                <w:sz w:val="22"/>
                <w:szCs w:val="22"/>
              </w:rPr>
              <w:t>$</w:t>
            </w:r>
          </w:p>
        </w:tc>
      </w:tr>
      <w:tr w:rsidR="006754E5" w:rsidTr="00F30ED0">
        <w:trPr>
          <w:trHeight w:val="530"/>
        </w:trPr>
        <w:tc>
          <w:tcPr>
            <w:tcW w:w="3594" w:type="dxa"/>
            <w:tcBorders>
              <w:right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E5" w:rsidRPr="00A3481A" w:rsidRDefault="006754E5" w:rsidP="00A3481A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2"/>
                <w:szCs w:val="22"/>
              </w:rPr>
            </w:pPr>
            <w:r w:rsidRPr="00A3481A">
              <w:rPr>
                <w:b/>
                <w:sz w:val="22"/>
                <w:szCs w:val="22"/>
              </w:rPr>
              <w:t xml:space="preserve"> TOTAL BID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5" w:rsidRDefault="006754E5" w:rsidP="00730D02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E5" w:rsidRPr="009173B6" w:rsidRDefault="006754E5" w:rsidP="00730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6754E5" w:rsidTr="00F30ED0">
        <w:trPr>
          <w:trHeight w:val="692"/>
        </w:trPr>
        <w:tc>
          <w:tcPr>
            <w:tcW w:w="3594" w:type="dxa"/>
            <w:tcBorders>
              <w:right w:val="single" w:sz="4" w:space="0" w:color="auto"/>
            </w:tcBorders>
            <w:shd w:val="clear" w:color="auto" w:fill="auto"/>
          </w:tcPr>
          <w:p w:rsidR="006754E5" w:rsidRPr="009173B6" w:rsidRDefault="006754E5" w:rsidP="003A727F">
            <w:pPr>
              <w:rPr>
                <w:sz w:val="22"/>
                <w:szCs w:val="22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754E5" w:rsidRDefault="006754E5" w:rsidP="00414AAF">
            <w:pPr>
              <w:jc w:val="right"/>
              <w:rPr>
                <w:b/>
                <w:sz w:val="22"/>
                <w:szCs w:val="22"/>
              </w:rPr>
            </w:pPr>
            <w:r w:rsidRPr="00730D02">
              <w:rPr>
                <w:b/>
                <w:caps/>
                <w:sz w:val="22"/>
                <w:szCs w:val="22"/>
              </w:rPr>
              <w:t>Percentage of Diversity Participation</w:t>
            </w:r>
            <w:r w:rsidRPr="00730D02">
              <w:rPr>
                <w:b/>
                <w:sz w:val="22"/>
                <w:szCs w:val="22"/>
              </w:rPr>
              <w:t xml:space="preserve"> (A ÷ B x 100)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54E5" w:rsidRDefault="006754E5" w:rsidP="00730D0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754E5" w:rsidRPr="009173B6" w:rsidRDefault="006754E5" w:rsidP="00730D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%</w:t>
            </w:r>
          </w:p>
        </w:tc>
      </w:tr>
    </w:tbl>
    <w:p w:rsidR="00CF3A18" w:rsidRPr="009173B6" w:rsidRDefault="00884844" w:rsidP="00CF3A18">
      <w:pPr>
        <w:rPr>
          <w:sz w:val="22"/>
          <w:szCs w:val="22"/>
        </w:rPr>
      </w:pPr>
      <w:bookmarkStart w:id="0" w:name="_GoBack"/>
      <w:bookmarkEnd w:id="0"/>
      <w:r w:rsidRPr="009173B6">
        <w:rPr>
          <w:sz w:val="22"/>
          <w:szCs w:val="22"/>
        </w:rPr>
        <w:t xml:space="preserve">The undersigned will immediately notify the Owner in the event that any of the information provided in this </w:t>
      </w:r>
      <w:r w:rsidR="00A3481A">
        <w:rPr>
          <w:b/>
          <w:sz w:val="22"/>
          <w:szCs w:val="22"/>
        </w:rPr>
        <w:t xml:space="preserve">SEBE Utilization Plan Document </w:t>
      </w:r>
      <w:r w:rsidRPr="009173B6">
        <w:rPr>
          <w:sz w:val="22"/>
          <w:szCs w:val="22"/>
        </w:rPr>
        <w:t>changes in any material way.</w:t>
      </w:r>
    </w:p>
    <w:p w:rsidR="00CF3A18" w:rsidRPr="005F79E2" w:rsidRDefault="00F30ED0" w:rsidP="005F79E2">
      <w:pPr>
        <w:jc w:val="center"/>
        <w:rPr>
          <w:b/>
          <w:sz w:val="22"/>
          <w:szCs w:val="22"/>
        </w:rPr>
      </w:pPr>
      <w:r>
        <w:rPr>
          <w:b/>
          <w:color w:val="548DD4" w:themeColor="text2" w:themeTint="99"/>
          <w:sz w:val="22"/>
          <w:szCs w:val="22"/>
        </w:rPr>
        <w:t>“</w:t>
      </w:r>
      <w:r w:rsidR="00884844" w:rsidRPr="005F79E2">
        <w:rPr>
          <w:b/>
          <w:color w:val="548DD4" w:themeColor="text2" w:themeTint="99"/>
          <w:sz w:val="22"/>
          <w:szCs w:val="22"/>
        </w:rPr>
        <w:t>BIDDER</w:t>
      </w:r>
      <w:r>
        <w:rPr>
          <w:b/>
          <w:color w:val="548DD4" w:themeColor="text2" w:themeTint="99"/>
          <w:sz w:val="22"/>
          <w:szCs w:val="22"/>
        </w:rPr>
        <w:t>”</w:t>
      </w:r>
    </w:p>
    <w:p w:rsidR="00CF3A18" w:rsidRPr="009173B6" w:rsidRDefault="007A2DA1" w:rsidP="00CF3A18">
      <w:pPr>
        <w:rPr>
          <w:sz w:val="22"/>
          <w:szCs w:val="22"/>
        </w:rPr>
      </w:pPr>
    </w:p>
    <w:p w:rsidR="00CF3A18" w:rsidRDefault="00884844" w:rsidP="00F30ED0">
      <w:pPr>
        <w:rPr>
          <w:sz w:val="22"/>
          <w:szCs w:val="22"/>
        </w:rPr>
      </w:pPr>
      <w:r w:rsidRPr="009173B6">
        <w:rPr>
          <w:sz w:val="22"/>
          <w:szCs w:val="22"/>
        </w:rPr>
        <w:t>By: _________________________________________________</w:t>
      </w:r>
      <w:r w:rsidR="005F79E2">
        <w:rPr>
          <w:sz w:val="22"/>
          <w:szCs w:val="22"/>
        </w:rPr>
        <w:t xml:space="preserve">             </w:t>
      </w:r>
      <w:r w:rsidR="005F79E2" w:rsidRPr="009173B6">
        <w:rPr>
          <w:sz w:val="22"/>
          <w:szCs w:val="22"/>
        </w:rPr>
        <w:t>Print Name</w:t>
      </w:r>
      <w:r w:rsidR="005F79E2">
        <w:rPr>
          <w:sz w:val="22"/>
          <w:szCs w:val="22"/>
        </w:rPr>
        <w:t>/</w:t>
      </w:r>
      <w:r w:rsidR="005F79E2" w:rsidRPr="009173B6">
        <w:rPr>
          <w:sz w:val="22"/>
          <w:szCs w:val="22"/>
        </w:rPr>
        <w:t xml:space="preserve">Title: </w:t>
      </w:r>
      <w:r w:rsidR="005F79E2">
        <w:rPr>
          <w:sz w:val="22"/>
          <w:szCs w:val="22"/>
        </w:rPr>
        <w:t>__________________________________________</w:t>
      </w:r>
      <w:r w:rsidR="005F79E2">
        <w:rPr>
          <w:sz w:val="22"/>
          <w:szCs w:val="22"/>
        </w:rPr>
        <w:t>________________</w:t>
      </w:r>
      <w:r w:rsidR="005F79E2">
        <w:rPr>
          <w:sz w:val="22"/>
          <w:szCs w:val="22"/>
        </w:rPr>
        <w:t xml:space="preserve"> </w:t>
      </w:r>
    </w:p>
    <w:p w:rsidR="00F30ED0" w:rsidRDefault="00F30ED0" w:rsidP="00F30ED0">
      <w:pPr>
        <w:rPr>
          <w:sz w:val="22"/>
          <w:szCs w:val="22"/>
        </w:rPr>
      </w:pPr>
    </w:p>
    <w:p w:rsidR="00F30ED0" w:rsidRPr="009173B6" w:rsidRDefault="00F30ED0" w:rsidP="00F30ED0">
      <w:pPr>
        <w:rPr>
          <w:b/>
          <w:sz w:val="24"/>
          <w:szCs w:val="24"/>
        </w:rPr>
      </w:pPr>
      <w:r w:rsidRPr="009173B6">
        <w:rPr>
          <w:sz w:val="22"/>
          <w:szCs w:val="22"/>
        </w:rPr>
        <w:t xml:space="preserve">Date: </w:t>
      </w:r>
      <w:r>
        <w:rPr>
          <w:sz w:val="22"/>
          <w:szCs w:val="22"/>
        </w:rPr>
        <w:t>_________________</w:t>
      </w:r>
    </w:p>
    <w:sectPr w:rsidR="00F30ED0" w:rsidRPr="009173B6" w:rsidSect="00F30ED0">
      <w:footerReference w:type="default" r:id="rId8"/>
      <w:pgSz w:w="15840" w:h="12240" w:orient="landscape" w:code="1"/>
      <w:pgMar w:top="288" w:right="450" w:bottom="9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A1" w:rsidRDefault="007A2DA1">
      <w:r>
        <w:separator/>
      </w:r>
    </w:p>
  </w:endnote>
  <w:endnote w:type="continuationSeparator" w:id="0">
    <w:p w:rsidR="007A2DA1" w:rsidRDefault="007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E2" w:rsidRDefault="005F79E2" w:rsidP="005F79E2">
    <w:pPr>
      <w:jc w:val="center"/>
      <w:rPr>
        <w:b/>
        <w:sz w:val="22"/>
        <w:szCs w:val="22"/>
      </w:rPr>
    </w:pPr>
    <w:r w:rsidRPr="009173B6">
      <w:rPr>
        <w:sz w:val="22"/>
        <w:szCs w:val="22"/>
      </w:rPr>
      <w:tab/>
    </w:r>
    <w:r w:rsidRPr="00CF3A18">
      <w:tab/>
    </w:r>
    <w:r>
      <w:tab/>
    </w:r>
    <w:r>
      <w:tab/>
    </w:r>
    <w:r>
      <w:tab/>
    </w:r>
    <w:r>
      <w:tab/>
    </w:r>
    <w:r>
      <w:tab/>
    </w:r>
    <w:r>
      <w:tab/>
    </w:r>
    <w:r w:rsidRPr="005F79E2">
      <w:rPr>
        <w:b/>
        <w:sz w:val="22"/>
        <w:szCs w:val="22"/>
      </w:rPr>
      <w:t>(</w:t>
    </w:r>
    <w:proofErr w:type="gramStart"/>
    <w:r w:rsidRPr="005F79E2">
      <w:rPr>
        <w:b/>
        <w:sz w:val="22"/>
        <w:szCs w:val="22"/>
      </w:rPr>
      <w:t>continue</w:t>
    </w:r>
    <w:proofErr w:type="gramEnd"/>
    <w:r w:rsidRPr="005F79E2">
      <w:rPr>
        <w:b/>
        <w:sz w:val="22"/>
        <w:szCs w:val="22"/>
      </w:rPr>
      <w:t xml:space="preserve"> list on additional sheets of paper if necessary)</w:t>
    </w:r>
  </w:p>
  <w:p w:rsidR="005F79E2" w:rsidRDefault="005F79E2" w:rsidP="005F79E2">
    <w:r w:rsidRPr="00CF3A18">
      <w:tab/>
    </w:r>
  </w:p>
  <w:p w:rsidR="005F79E2" w:rsidRDefault="005F7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A1" w:rsidRDefault="007A2DA1">
      <w:r>
        <w:separator/>
      </w:r>
    </w:p>
  </w:footnote>
  <w:footnote w:type="continuationSeparator" w:id="0">
    <w:p w:rsidR="007A2DA1" w:rsidRDefault="007A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5D8F"/>
    <w:multiLevelType w:val="hybridMultilevel"/>
    <w:tmpl w:val="F774B034"/>
    <w:lvl w:ilvl="0" w:tplc="C572345A">
      <w:start w:val="1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C95686B8">
      <w:start w:val="1"/>
      <w:numFmt w:val="upperLetter"/>
      <w:lvlText w:val="%2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2" w:tplc="AAD07BC6">
      <w:start w:val="1"/>
      <w:numFmt w:val="decimal"/>
      <w:lvlText w:val="%3."/>
      <w:lvlJc w:val="right"/>
      <w:pPr>
        <w:ind w:left="3600" w:hanging="180"/>
      </w:pPr>
      <w:rPr>
        <w:rFonts w:ascii="Calibri" w:eastAsia="Times New Roman" w:hAnsi="Calibri" w:cs="Times New Roman"/>
      </w:rPr>
    </w:lvl>
    <w:lvl w:ilvl="3" w:tplc="FA58958C">
      <w:start w:val="1"/>
      <w:numFmt w:val="decimal"/>
      <w:lvlText w:val="%4."/>
      <w:lvlJc w:val="left"/>
      <w:pPr>
        <w:ind w:left="4320" w:hanging="360"/>
      </w:pPr>
    </w:lvl>
    <w:lvl w:ilvl="4" w:tplc="C2967ACE" w:tentative="1">
      <w:start w:val="1"/>
      <w:numFmt w:val="lowerLetter"/>
      <w:lvlText w:val="%5."/>
      <w:lvlJc w:val="left"/>
      <w:pPr>
        <w:ind w:left="5040" w:hanging="360"/>
      </w:pPr>
    </w:lvl>
    <w:lvl w:ilvl="5" w:tplc="A8E84C06" w:tentative="1">
      <w:start w:val="1"/>
      <w:numFmt w:val="lowerRoman"/>
      <w:lvlText w:val="%6."/>
      <w:lvlJc w:val="right"/>
      <w:pPr>
        <w:ind w:left="5760" w:hanging="180"/>
      </w:pPr>
    </w:lvl>
    <w:lvl w:ilvl="6" w:tplc="D71A8810" w:tentative="1">
      <w:start w:val="1"/>
      <w:numFmt w:val="decimal"/>
      <w:lvlText w:val="%7."/>
      <w:lvlJc w:val="left"/>
      <w:pPr>
        <w:ind w:left="6480" w:hanging="360"/>
      </w:pPr>
    </w:lvl>
    <w:lvl w:ilvl="7" w:tplc="621648EA" w:tentative="1">
      <w:start w:val="1"/>
      <w:numFmt w:val="lowerLetter"/>
      <w:lvlText w:val="%8."/>
      <w:lvlJc w:val="left"/>
      <w:pPr>
        <w:ind w:left="7200" w:hanging="360"/>
      </w:pPr>
    </w:lvl>
    <w:lvl w:ilvl="8" w:tplc="A558B5A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AD538C"/>
    <w:multiLevelType w:val="hybridMultilevel"/>
    <w:tmpl w:val="872C3206"/>
    <w:lvl w:ilvl="0" w:tplc="F11AFD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5C3324" w:tentative="1">
      <w:start w:val="1"/>
      <w:numFmt w:val="lowerLetter"/>
      <w:lvlText w:val="%2."/>
      <w:lvlJc w:val="left"/>
      <w:pPr>
        <w:ind w:left="1440" w:hanging="360"/>
      </w:pPr>
    </w:lvl>
    <w:lvl w:ilvl="2" w:tplc="701414EC" w:tentative="1">
      <w:start w:val="1"/>
      <w:numFmt w:val="lowerRoman"/>
      <w:lvlText w:val="%3."/>
      <w:lvlJc w:val="right"/>
      <w:pPr>
        <w:ind w:left="2160" w:hanging="180"/>
      </w:pPr>
    </w:lvl>
    <w:lvl w:ilvl="3" w:tplc="E02A4E10" w:tentative="1">
      <w:start w:val="1"/>
      <w:numFmt w:val="decimal"/>
      <w:lvlText w:val="%4."/>
      <w:lvlJc w:val="left"/>
      <w:pPr>
        <w:ind w:left="2880" w:hanging="360"/>
      </w:pPr>
    </w:lvl>
    <w:lvl w:ilvl="4" w:tplc="18C6A2D6" w:tentative="1">
      <w:start w:val="1"/>
      <w:numFmt w:val="lowerLetter"/>
      <w:lvlText w:val="%5."/>
      <w:lvlJc w:val="left"/>
      <w:pPr>
        <w:ind w:left="3600" w:hanging="360"/>
      </w:pPr>
    </w:lvl>
    <w:lvl w:ilvl="5" w:tplc="86A6FFBC" w:tentative="1">
      <w:start w:val="1"/>
      <w:numFmt w:val="lowerRoman"/>
      <w:lvlText w:val="%6."/>
      <w:lvlJc w:val="right"/>
      <w:pPr>
        <w:ind w:left="4320" w:hanging="180"/>
      </w:pPr>
    </w:lvl>
    <w:lvl w:ilvl="6" w:tplc="79484F36" w:tentative="1">
      <w:start w:val="1"/>
      <w:numFmt w:val="decimal"/>
      <w:lvlText w:val="%7."/>
      <w:lvlJc w:val="left"/>
      <w:pPr>
        <w:ind w:left="5040" w:hanging="360"/>
      </w:pPr>
    </w:lvl>
    <w:lvl w:ilvl="7" w:tplc="1F7C4C56" w:tentative="1">
      <w:start w:val="1"/>
      <w:numFmt w:val="lowerLetter"/>
      <w:lvlText w:val="%8."/>
      <w:lvlJc w:val="left"/>
      <w:pPr>
        <w:ind w:left="5760" w:hanging="360"/>
      </w:pPr>
    </w:lvl>
    <w:lvl w:ilvl="8" w:tplc="F806C9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4A"/>
    <w:rsid w:val="000719BD"/>
    <w:rsid w:val="000C607B"/>
    <w:rsid w:val="0010006A"/>
    <w:rsid w:val="00154F99"/>
    <w:rsid w:val="00173779"/>
    <w:rsid w:val="003060CA"/>
    <w:rsid w:val="004018C1"/>
    <w:rsid w:val="00414AAF"/>
    <w:rsid w:val="0057514A"/>
    <w:rsid w:val="005B5968"/>
    <w:rsid w:val="005F79E2"/>
    <w:rsid w:val="006754E5"/>
    <w:rsid w:val="007A2DA1"/>
    <w:rsid w:val="007E3BB2"/>
    <w:rsid w:val="00884844"/>
    <w:rsid w:val="009D00F6"/>
    <w:rsid w:val="00A3481A"/>
    <w:rsid w:val="00B31D26"/>
    <w:rsid w:val="00F30ED0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C3E685-15E4-4C7F-B72D-5153701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18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5F5"/>
  </w:style>
  <w:style w:type="paragraph" w:styleId="Footer">
    <w:name w:val="footer"/>
    <w:basedOn w:val="Normal"/>
    <w:link w:val="FooterChar"/>
    <w:uiPriority w:val="99"/>
    <w:unhideWhenUsed/>
    <w:rsid w:val="00E7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5F5"/>
  </w:style>
  <w:style w:type="character" w:customStyle="1" w:styleId="Heading1Char">
    <w:name w:val="Heading 1 Char"/>
    <w:basedOn w:val="DefaultParagraphFont"/>
    <w:link w:val="Heading1"/>
    <w:uiPriority w:val="9"/>
    <w:rsid w:val="00CF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F3A18"/>
    <w:pPr>
      <w:jc w:val="both"/>
    </w:pPr>
  </w:style>
  <w:style w:type="character" w:customStyle="1" w:styleId="BodyTextChar">
    <w:name w:val="Body Text Char"/>
    <w:basedOn w:val="DefaultParagraphFont"/>
    <w:link w:val="BodyText"/>
    <w:rsid w:val="00CF3A18"/>
    <w:rPr>
      <w:rFonts w:eastAsia="Times New Roman" w:cs="Times New Roman"/>
      <w:sz w:val="20"/>
      <w:szCs w:val="20"/>
    </w:rPr>
  </w:style>
  <w:style w:type="paragraph" w:customStyle="1" w:styleId="APPENDIXD">
    <w:name w:val="APPENDIX D"/>
    <w:basedOn w:val="BodyText"/>
    <w:rsid w:val="00CF3A18"/>
    <w:pPr>
      <w:jc w:val="center"/>
    </w:pPr>
    <w:rPr>
      <w:b/>
      <w:bCs/>
      <w:sz w:val="28"/>
      <w:szCs w:val="28"/>
    </w:rPr>
  </w:style>
  <w:style w:type="character" w:customStyle="1" w:styleId="DocID">
    <w:name w:val="DocID"/>
    <w:basedOn w:val="DefaultParagraphFont"/>
    <w:rsid w:val="009173B6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paragraph" w:styleId="ListParagraph">
    <w:name w:val="List Paragraph"/>
    <w:basedOn w:val="Normal"/>
    <w:uiPriority w:val="34"/>
    <w:qFormat/>
    <w:rsid w:val="0073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44A5-D62F-4945-879D-28BD64D0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Moeller, Tony J - (Ohio)</dc:creator>
  <cp:lastModifiedBy>Wicker, Marleise K.</cp:lastModifiedBy>
  <cp:revision>2</cp:revision>
  <cp:lastPrinted>2017-06-15T16:32:00Z</cp:lastPrinted>
  <dcterms:created xsi:type="dcterms:W3CDTF">2019-01-17T15:11:00Z</dcterms:created>
  <dcterms:modified xsi:type="dcterms:W3CDTF">2019-01-17T15:11:00Z</dcterms:modified>
</cp:coreProperties>
</file>